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175"/>
        <w:gridCol w:w="5263"/>
      </w:tblGrid>
      <w:tr>
        <w:trPr>
          <w:trHeight w:val="2693"/>
        </w:trPr>
        <w:tc>
          <w:tcPr>
            <w:tcW w:w="4175" w:type="dxa"/>
          </w:tcPr>
          <w:p>
            <w:pPr>
              <w:spacing w:line="240" w:lineRule="auto"/>
              <w:jc w:val="center"/>
              <w:rPr>
                <w:sz w:val="24"/>
                <w:szCs w:val="24"/>
              </w:rPr>
            </w:pPr>
            <w:r>
              <w:rPr>
                <w:sz w:val="24"/>
                <w:szCs w:val="24"/>
              </w:rPr>
              <w:t>ỦY BAN NHÂN DÂN QUẬN 8</w:t>
            </w:r>
          </w:p>
          <w:p>
            <w:pPr>
              <w:spacing w:line="240" w:lineRule="auto"/>
              <w:jc w:val="center"/>
              <w:rPr>
                <w:b/>
                <w:spacing w:val="-6"/>
              </w:rPr>
            </w:pPr>
            <w:r>
              <w:rPr>
                <w:b/>
                <w:spacing w:val="-6"/>
              </w:rPr>
              <w:t>PHÒNG GIÁO DỤC VÀ ĐÀO TẠO</w:t>
            </w:r>
          </w:p>
          <w:p>
            <w:pPr>
              <w:jc w:val="center"/>
              <w:rPr>
                <w:b/>
                <w:spacing w:val="-6"/>
              </w:rPr>
            </w:pPr>
            <w:r>
              <w:rPr>
                <w:b/>
                <w:noProof/>
                <w:spacing w:val="-6"/>
              </w:rPr>
              <w:pict>
                <v:line id="_x0000_s1026" style="position:absolute;left:0;text-align:left;z-index:251657216" from="48.1pt,3.15pt" to="144.1pt,3.15pt"/>
              </w:pict>
            </w:r>
          </w:p>
          <w:p>
            <w:pPr>
              <w:jc w:val="center"/>
              <w:rPr>
                <w:spacing w:val="-6"/>
              </w:rPr>
            </w:pPr>
            <w:r>
              <w:rPr>
                <w:spacing w:val="-6"/>
              </w:rPr>
              <w:t>Số:  254  /GDĐT</w:t>
            </w:r>
          </w:p>
          <w:p>
            <w:pPr>
              <w:tabs>
                <w:tab w:val="left" w:pos="3312"/>
              </w:tabs>
              <w:spacing w:line="264" w:lineRule="auto"/>
              <w:ind w:right="189" w:firstLine="180"/>
              <w:jc w:val="center"/>
            </w:pPr>
            <w:r>
              <w:t>Về hướng dẫn cập nhật, rà soát,</w:t>
            </w:r>
          </w:p>
          <w:p>
            <w:pPr>
              <w:tabs>
                <w:tab w:val="left" w:pos="3312"/>
              </w:tabs>
              <w:spacing w:line="264" w:lineRule="auto"/>
              <w:ind w:right="189" w:firstLine="180"/>
              <w:jc w:val="center"/>
            </w:pPr>
            <w:r>
              <w:t xml:space="preserve"> bổ sung, phổ biến văn bản quy phạm pháp luật, quy định mới</w:t>
            </w:r>
          </w:p>
          <w:p>
            <w:pPr>
              <w:tabs>
                <w:tab w:val="left" w:pos="3312"/>
              </w:tabs>
              <w:spacing w:line="264" w:lineRule="auto"/>
              <w:ind w:right="189" w:firstLine="180"/>
              <w:jc w:val="center"/>
            </w:pPr>
            <w:r>
              <w:t>tháng 01, 02 năm 2018.</w:t>
            </w:r>
          </w:p>
          <w:p>
            <w:pPr>
              <w:tabs>
                <w:tab w:val="left" w:pos="3312"/>
              </w:tabs>
              <w:spacing w:line="240" w:lineRule="auto"/>
              <w:ind w:left="164" w:right="187" w:firstLine="181"/>
              <w:jc w:val="center"/>
              <w:rPr>
                <w:color w:val="000000"/>
                <w:szCs w:val="26"/>
              </w:rPr>
            </w:pPr>
          </w:p>
        </w:tc>
        <w:tc>
          <w:tcPr>
            <w:tcW w:w="5263" w:type="dxa"/>
          </w:tcPr>
          <w:p>
            <w:pPr>
              <w:spacing w:line="240" w:lineRule="auto"/>
              <w:jc w:val="center"/>
              <w:rPr>
                <w:b/>
                <w:sz w:val="24"/>
                <w:szCs w:val="24"/>
              </w:rPr>
            </w:pPr>
            <w:r>
              <w:rPr>
                <w:b/>
                <w:sz w:val="24"/>
                <w:szCs w:val="24"/>
              </w:rPr>
              <w:t xml:space="preserve">CỘNG HÒA XÃ HỘI CHỦ NGHĨA VIỆT </w:t>
            </w:r>
            <w:smartTag w:uri="urn:schemas-microsoft-com:office:smarttags" w:element="country-region">
              <w:smartTag w:uri="urn:schemas-microsoft-com:office:smarttags" w:element="place">
                <w:r>
                  <w:rPr>
                    <w:b/>
                    <w:sz w:val="24"/>
                    <w:szCs w:val="24"/>
                  </w:rPr>
                  <w:t>NAM</w:t>
                </w:r>
              </w:smartTag>
            </w:smartTag>
          </w:p>
          <w:p>
            <w:pPr>
              <w:spacing w:line="240" w:lineRule="auto"/>
              <w:jc w:val="center"/>
              <w:rPr>
                <w:b/>
              </w:rPr>
            </w:pPr>
            <w:r>
              <w:rPr>
                <w:b/>
              </w:rPr>
              <w:t xml:space="preserve">Độc lập - Tự do - Hạnh phúc </w:t>
            </w:r>
          </w:p>
          <w:p>
            <w:pPr>
              <w:jc w:val="center"/>
              <w:rPr>
                <w:b/>
                <w:sz w:val="24"/>
                <w:szCs w:val="24"/>
              </w:rPr>
            </w:pPr>
            <w:r>
              <w:rPr>
                <w:b/>
                <w:noProof/>
                <w:sz w:val="24"/>
                <w:szCs w:val="24"/>
              </w:rPr>
              <w:pict>
                <v:line id="_x0000_s1027" style="position:absolute;left:0;text-align:left;z-index:251658240" from="50.35pt,5.05pt" to="206.1pt,5.05pt"/>
              </w:pict>
            </w:r>
          </w:p>
          <w:p>
            <w:pPr>
              <w:jc w:val="center"/>
              <w:rPr>
                <w:b/>
                <w:sz w:val="24"/>
                <w:szCs w:val="24"/>
              </w:rPr>
            </w:pPr>
            <w:r>
              <w:rPr>
                <w:i/>
              </w:rPr>
              <w:t xml:space="preserve">    Quận 8, ngày   12   tháng  03  năm 2018</w:t>
            </w:r>
          </w:p>
          <w:p>
            <w:pPr>
              <w:rPr>
                <w:b/>
              </w:rPr>
            </w:pPr>
          </w:p>
          <w:p>
            <w:pPr>
              <w:rPr>
                <w:b/>
              </w:rPr>
            </w:pPr>
          </w:p>
          <w:p>
            <w:pPr>
              <w:rPr>
                <w:b/>
              </w:rPr>
            </w:pPr>
          </w:p>
        </w:tc>
      </w:tr>
    </w:tbl>
    <w:p>
      <w:pPr>
        <w:spacing w:after="120" w:line="240" w:lineRule="auto"/>
        <w:ind w:left="2160" w:firstLine="720"/>
        <w:rPr>
          <w:sz w:val="28"/>
          <w:szCs w:val="28"/>
        </w:rPr>
      </w:pPr>
      <w:r>
        <w:rPr>
          <w:b/>
          <w:sz w:val="28"/>
          <w:szCs w:val="28"/>
        </w:rPr>
        <w:t xml:space="preserve">                 </w:t>
      </w:r>
      <w:r>
        <w:rPr>
          <w:sz w:val="28"/>
          <w:szCs w:val="28"/>
        </w:rPr>
        <w:t>Kính gửi:</w:t>
      </w:r>
      <w:r>
        <w:rPr>
          <w:b/>
          <w:sz w:val="28"/>
          <w:szCs w:val="28"/>
        </w:rPr>
        <w:t xml:space="preserve"> </w:t>
      </w:r>
      <w:r>
        <w:rPr>
          <w:sz w:val="28"/>
          <w:szCs w:val="28"/>
        </w:rPr>
        <w:t>Thủ trưởng các cơ sở giáo dục.</w:t>
      </w:r>
    </w:p>
    <w:p>
      <w:pPr>
        <w:spacing w:after="120" w:line="240" w:lineRule="auto"/>
        <w:ind w:firstLine="567"/>
        <w:rPr>
          <w:color w:val="000000"/>
          <w:sz w:val="28"/>
          <w:szCs w:val="28"/>
        </w:rPr>
      </w:pPr>
      <w:r>
        <w:rPr>
          <w:sz w:val="28"/>
          <w:szCs w:val="28"/>
        </w:rPr>
        <w:t xml:space="preserve">Căn cứ Công văn số </w:t>
      </w:r>
      <w:r>
        <w:rPr>
          <w:color w:val="000000"/>
          <w:sz w:val="28"/>
          <w:szCs w:val="28"/>
        </w:rPr>
        <w:t xml:space="preserve">749/GDĐT-CTTT ngày 9 tháng 3 năm 2018 của Sở Giáo dục và Đào tạo về </w:t>
      </w:r>
      <w:r>
        <w:rPr>
          <w:sz w:val="28"/>
          <w:szCs w:val="28"/>
        </w:rPr>
        <w:t>hướng dẫn cập nhật, rà soát, bổ sung, phổ biến văn bản quy phạm pháp luật, quy định mới tháng 01, 02 năm 2018</w:t>
      </w:r>
      <w:r>
        <w:rPr>
          <w:color w:val="000000"/>
          <w:sz w:val="28"/>
          <w:szCs w:val="28"/>
        </w:rPr>
        <w:t>;</w:t>
      </w:r>
    </w:p>
    <w:p>
      <w:pPr>
        <w:spacing w:after="120" w:line="240" w:lineRule="auto"/>
        <w:ind w:firstLine="567"/>
        <w:rPr>
          <w:iCs/>
          <w:sz w:val="28"/>
          <w:szCs w:val="28"/>
        </w:rPr>
      </w:pPr>
      <w:r>
        <w:rPr>
          <w:iCs/>
          <w:sz w:val="28"/>
          <w:szCs w:val="28"/>
        </w:rPr>
        <w:t xml:space="preserve">Nhằm tăng cường hiệu quả phổ biến, giáo dục pháp luật (PBGDPL); đồng thời </w:t>
      </w:r>
      <w:r>
        <w:rPr>
          <w:sz w:val="28"/>
          <w:szCs w:val="28"/>
        </w:rPr>
        <w:t>cập nhật, rà soát, bổ sung, phổ biến văn bản quy phạm pháp luật, quy định mới  tháng 01, 02 năm 2018;</w:t>
      </w:r>
      <w:r>
        <w:rPr>
          <w:iCs/>
          <w:sz w:val="28"/>
          <w:szCs w:val="28"/>
        </w:rPr>
        <w:t xml:space="preserve"> góp phần nâng cao ý thức pháp luật của từng cán bộ quản lý, nhà giáo, người học và các thành viên khác trong đơn vị. </w:t>
      </w:r>
    </w:p>
    <w:p>
      <w:pPr>
        <w:spacing w:after="120" w:line="240" w:lineRule="auto"/>
        <w:ind w:firstLine="567"/>
        <w:rPr>
          <w:sz w:val="28"/>
          <w:szCs w:val="28"/>
        </w:rPr>
      </w:pPr>
      <w:r>
        <w:rPr>
          <w:iCs/>
          <w:sz w:val="28"/>
          <w:szCs w:val="28"/>
        </w:rPr>
        <w:t xml:space="preserve">Phòng Giáo dục và Đào tạo </w:t>
      </w:r>
      <w:r>
        <w:rPr>
          <w:sz w:val="28"/>
          <w:szCs w:val="28"/>
        </w:rPr>
        <w:t>đề nghị thủ trưởng các cơ sở giáo dục triển khai thực hiện:</w:t>
      </w:r>
    </w:p>
    <w:p>
      <w:pPr>
        <w:spacing w:after="120" w:line="240" w:lineRule="auto"/>
        <w:ind w:firstLine="567"/>
        <w:rPr>
          <w:sz w:val="28"/>
          <w:szCs w:val="28"/>
        </w:rPr>
      </w:pPr>
      <w:r>
        <w:rPr>
          <w:b/>
          <w:sz w:val="28"/>
          <w:szCs w:val="28"/>
        </w:rPr>
        <w:t>1</w:t>
      </w:r>
      <w:r>
        <w:rPr>
          <w:sz w:val="28"/>
          <w:szCs w:val="28"/>
        </w:rPr>
        <w:t xml:space="preserve">. Hướng dẫn, </w:t>
      </w:r>
      <w:r>
        <w:rPr>
          <w:iCs/>
          <w:sz w:val="28"/>
          <w:szCs w:val="28"/>
        </w:rPr>
        <w:t>cập nhật, bổ sung các loại sách, báo, tài liệu, thiết bị PBGDPL mới cho Tủ sách pháp luật, thư viện của đơn vị;</w:t>
      </w:r>
    </w:p>
    <w:p>
      <w:pPr>
        <w:tabs>
          <w:tab w:val="left" w:pos="1080"/>
        </w:tabs>
        <w:spacing w:line="288" w:lineRule="auto"/>
        <w:ind w:firstLine="567"/>
        <w:rPr>
          <w:sz w:val="28"/>
          <w:szCs w:val="28"/>
        </w:rPr>
      </w:pPr>
      <w:r>
        <w:rPr>
          <w:b/>
          <w:sz w:val="28"/>
          <w:szCs w:val="28"/>
        </w:rPr>
        <w:t>2</w:t>
      </w:r>
      <w:r>
        <w:rPr>
          <w:sz w:val="28"/>
          <w:szCs w:val="28"/>
        </w:rPr>
        <w:t>. Triển khai thực hiện, phổ biến, thông tin văn bản quy phạm pháp luật, quy định mới theo danh mục được nêu trong văn bản này bằng nhiều hình thức phù hợp tại đơn vị.</w:t>
      </w:r>
    </w:p>
    <w:p>
      <w:pPr>
        <w:tabs>
          <w:tab w:val="left" w:pos="1080"/>
        </w:tabs>
        <w:spacing w:line="288" w:lineRule="auto"/>
        <w:ind w:firstLine="567"/>
        <w:rPr>
          <w:sz w:val="28"/>
          <w:szCs w:val="28"/>
        </w:rPr>
      </w:pPr>
      <w:r>
        <w:rPr>
          <w:b/>
          <w:sz w:val="28"/>
          <w:szCs w:val="28"/>
        </w:rPr>
        <w:t>3.</w:t>
      </w:r>
      <w:r>
        <w:rPr>
          <w:sz w:val="28"/>
          <w:szCs w:val="28"/>
        </w:rPr>
        <w:t xml:space="preserve"> Danh mục </w:t>
      </w:r>
      <w:r>
        <w:rPr>
          <w:iCs/>
          <w:sz w:val="28"/>
          <w:szCs w:val="28"/>
        </w:rPr>
        <w:t xml:space="preserve">tài liệu, văn bản quy phạm pháp luật gồm: </w:t>
      </w:r>
    </w:p>
    <w:p>
      <w:pPr>
        <w:tabs>
          <w:tab w:val="left" w:pos="720"/>
          <w:tab w:val="left" w:pos="1080"/>
        </w:tabs>
        <w:spacing w:line="288" w:lineRule="auto"/>
        <w:ind w:left="567"/>
        <w:rPr>
          <w:b/>
          <w:sz w:val="28"/>
          <w:szCs w:val="28"/>
        </w:rPr>
      </w:pPr>
      <w:r>
        <w:rPr>
          <w:b/>
          <w:sz w:val="28"/>
          <w:szCs w:val="28"/>
        </w:rPr>
        <w:t>a. Luật của Quốc hội</w:t>
      </w:r>
    </w:p>
    <w:p>
      <w:pPr>
        <w:tabs>
          <w:tab w:val="left" w:pos="1080"/>
        </w:tabs>
        <w:spacing w:line="288" w:lineRule="auto"/>
        <w:ind w:left="567"/>
        <w:rPr>
          <w:sz w:val="28"/>
          <w:szCs w:val="28"/>
        </w:rPr>
      </w:pPr>
      <w:r>
        <w:rPr>
          <w:sz w:val="28"/>
          <w:szCs w:val="28"/>
        </w:rPr>
        <w:t xml:space="preserve">- Luật Lâm nghiệp số 16/2017/QH14 ngày 15 tháng 11 năm 2017; </w:t>
      </w:r>
    </w:p>
    <w:p>
      <w:pPr>
        <w:tabs>
          <w:tab w:val="left" w:pos="1080"/>
        </w:tabs>
        <w:spacing w:line="288" w:lineRule="auto"/>
        <w:ind w:firstLine="567"/>
        <w:rPr>
          <w:sz w:val="28"/>
          <w:szCs w:val="28"/>
        </w:rPr>
      </w:pPr>
      <w:r>
        <w:rPr>
          <w:sz w:val="28"/>
          <w:szCs w:val="28"/>
        </w:rPr>
        <w:t>- Luật sửa đổi, bổ sung một số điều của Luật Các tổ chức tín dụng số 17/2017/QH14 ngày 20 tháng 11 năm 2017;</w:t>
      </w:r>
    </w:p>
    <w:p>
      <w:pPr>
        <w:tabs>
          <w:tab w:val="left" w:pos="1080"/>
        </w:tabs>
        <w:spacing w:line="288" w:lineRule="auto"/>
        <w:ind w:left="567"/>
        <w:rPr>
          <w:sz w:val="28"/>
          <w:szCs w:val="28"/>
        </w:rPr>
      </w:pPr>
      <w:r>
        <w:rPr>
          <w:sz w:val="28"/>
          <w:szCs w:val="28"/>
        </w:rPr>
        <w:t>- Luật Thủy sản số 18/2017/QH14 ngày 21 tháng 11 năm 2017;</w:t>
      </w:r>
    </w:p>
    <w:p>
      <w:pPr>
        <w:tabs>
          <w:tab w:val="left" w:pos="1080"/>
        </w:tabs>
        <w:spacing w:line="288" w:lineRule="auto"/>
        <w:ind w:firstLine="567"/>
        <w:rPr>
          <w:spacing w:val="-8"/>
          <w:sz w:val="28"/>
          <w:szCs w:val="28"/>
        </w:rPr>
      </w:pPr>
      <w:r>
        <w:rPr>
          <w:sz w:val="28"/>
          <w:szCs w:val="28"/>
        </w:rPr>
        <w:t xml:space="preserve">- Luật sửa đổi, bổ sung một số điều của Luật Cơ quan đại diện nước Cộng hòa </w:t>
      </w:r>
      <w:r>
        <w:rPr>
          <w:spacing w:val="-8"/>
          <w:sz w:val="28"/>
          <w:szCs w:val="28"/>
        </w:rPr>
        <w:t>xã hội chủ nghĩa Việt Nam ở nước ngoài số 19/2017/QH14 ngày 21 tháng 11 năm 2017;</w:t>
      </w:r>
    </w:p>
    <w:p>
      <w:pPr>
        <w:tabs>
          <w:tab w:val="left" w:pos="1080"/>
        </w:tabs>
        <w:spacing w:line="288" w:lineRule="auto"/>
        <w:ind w:firstLine="567"/>
        <w:rPr>
          <w:sz w:val="28"/>
          <w:szCs w:val="28"/>
        </w:rPr>
      </w:pPr>
      <w:r>
        <w:rPr>
          <w:sz w:val="28"/>
          <w:szCs w:val="28"/>
        </w:rPr>
        <w:t>- Luật Quản lý nợ công số 20/2017/QH14 ngày 23 tháng 11 năm 2017;</w:t>
      </w:r>
    </w:p>
    <w:p>
      <w:pPr>
        <w:tabs>
          <w:tab w:val="left" w:pos="1080"/>
        </w:tabs>
        <w:spacing w:line="288" w:lineRule="auto"/>
        <w:ind w:firstLine="567"/>
        <w:rPr>
          <w:sz w:val="28"/>
          <w:szCs w:val="28"/>
        </w:rPr>
      </w:pPr>
      <w:r>
        <w:rPr>
          <w:sz w:val="28"/>
          <w:szCs w:val="28"/>
        </w:rPr>
        <w:t>- Luật Quy hoạch số 21/2017/QH14 ngày 24 tháng 11 năm 2017.</w:t>
      </w:r>
    </w:p>
    <w:p>
      <w:pPr>
        <w:tabs>
          <w:tab w:val="left" w:pos="1080"/>
        </w:tabs>
        <w:spacing w:line="288" w:lineRule="auto"/>
        <w:ind w:firstLine="567"/>
        <w:rPr>
          <w:b/>
          <w:sz w:val="28"/>
          <w:szCs w:val="28"/>
        </w:rPr>
      </w:pPr>
      <w:r>
        <w:rPr>
          <w:b/>
          <w:sz w:val="28"/>
          <w:szCs w:val="28"/>
        </w:rPr>
        <w:t>b. Nghị quyết của Quốc hội</w:t>
      </w:r>
    </w:p>
    <w:p>
      <w:pPr>
        <w:tabs>
          <w:tab w:val="left" w:pos="1080"/>
        </w:tabs>
        <w:spacing w:line="288" w:lineRule="auto"/>
        <w:ind w:firstLine="567"/>
        <w:rPr>
          <w:b/>
          <w:sz w:val="28"/>
          <w:szCs w:val="28"/>
        </w:rPr>
      </w:pPr>
      <w:r>
        <w:rPr>
          <w:sz w:val="28"/>
          <w:szCs w:val="28"/>
        </w:rPr>
        <w:t>Nghị quyết số 56/2017/QH14 ngày 24 tháng 11 năm 2017 của Quốc hội về tiếp tục cải cách tổ chức bộ máy hành chính nhà nước tinh gọn, hoạt động hiệu lực, hiệu quả.</w:t>
      </w:r>
    </w:p>
    <w:p>
      <w:pPr>
        <w:tabs>
          <w:tab w:val="left" w:pos="1080"/>
        </w:tabs>
        <w:spacing w:line="288" w:lineRule="auto"/>
        <w:ind w:firstLine="567"/>
        <w:rPr>
          <w:b/>
          <w:sz w:val="28"/>
          <w:szCs w:val="28"/>
        </w:rPr>
      </w:pPr>
    </w:p>
    <w:p>
      <w:pPr>
        <w:tabs>
          <w:tab w:val="left" w:pos="1080"/>
        </w:tabs>
        <w:spacing w:line="288" w:lineRule="auto"/>
        <w:ind w:firstLine="567"/>
        <w:rPr>
          <w:b/>
          <w:sz w:val="28"/>
          <w:szCs w:val="28"/>
        </w:rPr>
      </w:pPr>
      <w:r>
        <w:rPr>
          <w:b/>
          <w:sz w:val="28"/>
          <w:szCs w:val="28"/>
        </w:rPr>
        <w:lastRenderedPageBreak/>
        <w:t>c. Quyết định của Thủ tướng</w:t>
      </w:r>
    </w:p>
    <w:p>
      <w:pPr>
        <w:tabs>
          <w:tab w:val="left" w:pos="1080"/>
        </w:tabs>
        <w:spacing w:line="288" w:lineRule="auto"/>
        <w:ind w:firstLine="567"/>
        <w:rPr>
          <w:b/>
          <w:sz w:val="28"/>
          <w:szCs w:val="28"/>
        </w:rPr>
      </w:pPr>
      <w:r>
        <w:rPr>
          <w:sz w:val="28"/>
          <w:szCs w:val="28"/>
        </w:rPr>
        <w:t>- Quyết định số 199/QĐ-TTg ngày 09 tháng 02 năm 2018 của Thủ tướng Chính phủ về việc phê duyệt Phương án đơn giản hóa đối với nhóm thủ tục hành chính, quy định liên quan đến lý lịch tư pháp và yêu cầu nộp bản sao giấy tờ có công chứng, chứng thực;</w:t>
      </w:r>
    </w:p>
    <w:p>
      <w:pPr>
        <w:tabs>
          <w:tab w:val="left" w:pos="1080"/>
        </w:tabs>
        <w:spacing w:line="288" w:lineRule="auto"/>
        <w:ind w:firstLine="567"/>
        <w:rPr>
          <w:b/>
          <w:sz w:val="28"/>
          <w:szCs w:val="28"/>
        </w:rPr>
      </w:pPr>
      <w:r>
        <w:rPr>
          <w:sz w:val="28"/>
          <w:szCs w:val="28"/>
        </w:rPr>
        <w:t>- Quyết định số 242/QĐ-TTg ngày 26 tháng 02 năm 2018 của Thủ tướng Chính phủ về phê duyệt “Đề án đổi mới, nâng cao hiệu quả công tác tổ chức thi hành pháp luật” giai đoạn năm 2018-2022.</w:t>
      </w:r>
    </w:p>
    <w:p>
      <w:pPr>
        <w:tabs>
          <w:tab w:val="left" w:pos="1080"/>
        </w:tabs>
        <w:spacing w:line="288" w:lineRule="auto"/>
        <w:ind w:firstLine="567"/>
        <w:rPr>
          <w:b/>
          <w:sz w:val="28"/>
          <w:szCs w:val="28"/>
        </w:rPr>
      </w:pPr>
      <w:r>
        <w:rPr>
          <w:b/>
          <w:sz w:val="28"/>
          <w:szCs w:val="28"/>
        </w:rPr>
        <w:t>d. Nghị định</w:t>
      </w:r>
      <w:r>
        <w:rPr>
          <w:b/>
          <w:sz w:val="28"/>
          <w:szCs w:val="28"/>
          <w:lang w:val="vi-VN"/>
        </w:rPr>
        <w:t>, Nghị quyết</w:t>
      </w:r>
      <w:r>
        <w:rPr>
          <w:b/>
          <w:sz w:val="28"/>
          <w:szCs w:val="28"/>
        </w:rPr>
        <w:t xml:space="preserve"> của Chính phủ</w:t>
      </w:r>
    </w:p>
    <w:p>
      <w:pPr>
        <w:tabs>
          <w:tab w:val="left" w:pos="1080"/>
        </w:tabs>
        <w:spacing w:line="288" w:lineRule="auto"/>
        <w:ind w:firstLine="567"/>
        <w:rPr>
          <w:b/>
          <w:sz w:val="28"/>
          <w:szCs w:val="28"/>
        </w:rPr>
      </w:pPr>
      <w:r>
        <w:rPr>
          <w:iCs/>
          <w:sz w:val="28"/>
          <w:szCs w:val="28"/>
        </w:rPr>
        <w:t xml:space="preserve">- Nghị định số </w:t>
      </w:r>
      <w:r>
        <w:rPr>
          <w:sz w:val="28"/>
          <w:szCs w:val="28"/>
        </w:rPr>
        <w:t>162/2017/NĐ-CP</w:t>
      </w:r>
      <w:r>
        <w:rPr>
          <w:iCs/>
          <w:sz w:val="28"/>
          <w:szCs w:val="28"/>
        </w:rPr>
        <w:t xml:space="preserve"> ngày 30 tháng 12 năm 2017 của Chính phủ</w:t>
      </w:r>
      <w:r>
        <w:rPr>
          <w:sz w:val="28"/>
          <w:szCs w:val="28"/>
        </w:rPr>
        <w:t xml:space="preserve"> quy định chi tiết một số điều và biện pháp thi hành Luật Tín ngưỡng, tôn giáo;</w:t>
      </w:r>
    </w:p>
    <w:p>
      <w:pPr>
        <w:tabs>
          <w:tab w:val="left" w:pos="1080"/>
        </w:tabs>
        <w:spacing w:line="288" w:lineRule="auto"/>
        <w:ind w:firstLine="567"/>
        <w:rPr>
          <w:b/>
          <w:sz w:val="28"/>
          <w:szCs w:val="28"/>
        </w:rPr>
      </w:pPr>
      <w:r>
        <w:rPr>
          <w:iCs/>
          <w:sz w:val="28"/>
          <w:szCs w:val="28"/>
        </w:rPr>
        <w:t xml:space="preserve">- Nghị định số </w:t>
      </w:r>
      <w:r>
        <w:rPr>
          <w:sz w:val="28"/>
          <w:szCs w:val="28"/>
        </w:rPr>
        <w:t xml:space="preserve">06/2018/NĐ-CP </w:t>
      </w:r>
      <w:r>
        <w:rPr>
          <w:iCs/>
          <w:sz w:val="28"/>
          <w:szCs w:val="28"/>
        </w:rPr>
        <w:t>ngày 05 tháng 01 năm 2018 của Chính phủ quy định chính sách hỗ trợ ăn trưa đối với trẻ em mẫu giáo và chính sách đối với giáo viên mầm non;</w:t>
      </w:r>
    </w:p>
    <w:p>
      <w:pPr>
        <w:tabs>
          <w:tab w:val="left" w:pos="1080"/>
        </w:tabs>
        <w:spacing w:line="288" w:lineRule="auto"/>
        <w:ind w:firstLine="567"/>
        <w:rPr>
          <w:b/>
          <w:sz w:val="28"/>
          <w:szCs w:val="28"/>
        </w:rPr>
      </w:pPr>
      <w:r>
        <w:rPr>
          <w:iCs/>
          <w:sz w:val="28"/>
          <w:szCs w:val="28"/>
        </w:rPr>
        <w:t xml:space="preserve">- Nghị định số </w:t>
      </w:r>
      <w:r>
        <w:rPr>
          <w:sz w:val="28"/>
          <w:szCs w:val="28"/>
        </w:rPr>
        <w:t xml:space="preserve">13/2018/NĐ-CP </w:t>
      </w:r>
      <w:r>
        <w:rPr>
          <w:iCs/>
          <w:sz w:val="28"/>
          <w:szCs w:val="28"/>
        </w:rPr>
        <w:t>ngày 23 tháng 01 năm 2018 của Chính phủ quy định chi tiết và biện pháp thi hành Luật tiếp cận thông tin;</w:t>
      </w:r>
    </w:p>
    <w:p>
      <w:pPr>
        <w:tabs>
          <w:tab w:val="left" w:pos="1080"/>
        </w:tabs>
        <w:spacing w:line="288" w:lineRule="auto"/>
        <w:ind w:firstLine="567"/>
        <w:rPr>
          <w:b/>
          <w:sz w:val="28"/>
          <w:szCs w:val="28"/>
        </w:rPr>
      </w:pPr>
      <w:r>
        <w:rPr>
          <w:iCs/>
          <w:sz w:val="28"/>
          <w:szCs w:val="28"/>
        </w:rPr>
        <w:t xml:space="preserve">- </w:t>
      </w:r>
      <w:r>
        <w:rPr>
          <w:iCs/>
          <w:sz w:val="28"/>
          <w:szCs w:val="28"/>
          <w:lang w:val="vi-VN"/>
        </w:rPr>
        <w:t xml:space="preserve">Nghị định </w:t>
      </w:r>
      <w:r>
        <w:rPr>
          <w:iCs/>
          <w:sz w:val="28"/>
          <w:szCs w:val="28"/>
        </w:rPr>
        <w:t xml:space="preserve">số </w:t>
      </w:r>
      <w:r>
        <w:rPr>
          <w:sz w:val="28"/>
          <w:szCs w:val="28"/>
        </w:rPr>
        <w:t xml:space="preserve">15/2018/NĐ-CP </w:t>
      </w:r>
      <w:r>
        <w:rPr>
          <w:iCs/>
          <w:sz w:val="28"/>
          <w:szCs w:val="28"/>
        </w:rPr>
        <w:t xml:space="preserve">ngày 02 tháng 02 năm 2018 của Chính phủ </w:t>
      </w:r>
      <w:r>
        <w:rPr>
          <w:iCs/>
          <w:sz w:val="28"/>
          <w:szCs w:val="28"/>
          <w:lang w:val="vi-VN"/>
        </w:rPr>
        <w:t>quy định chi tiết thi hành một số điều của Luật an toàn thực phẩm</w:t>
      </w:r>
      <w:r>
        <w:rPr>
          <w:iCs/>
          <w:sz w:val="28"/>
          <w:szCs w:val="28"/>
        </w:rPr>
        <w:t>;</w:t>
      </w:r>
    </w:p>
    <w:p>
      <w:pPr>
        <w:tabs>
          <w:tab w:val="left" w:pos="1080"/>
        </w:tabs>
        <w:spacing w:line="288" w:lineRule="auto"/>
        <w:ind w:firstLine="567"/>
        <w:rPr>
          <w:b/>
          <w:sz w:val="28"/>
          <w:szCs w:val="28"/>
        </w:rPr>
      </w:pPr>
      <w:r>
        <w:rPr>
          <w:iCs/>
          <w:sz w:val="28"/>
          <w:szCs w:val="28"/>
        </w:rPr>
        <w:t xml:space="preserve">- Nghị định số 19/2018/NĐ-CP ngày 02 tháng 02 năm 2018 của Chính phủ </w:t>
      </w:r>
      <w:r>
        <w:rPr>
          <w:iCs/>
          <w:sz w:val="28"/>
          <w:szCs w:val="28"/>
          <w:lang w:val="vi-VN"/>
        </w:rPr>
        <w:t>quy định về việc tính tổng khối lượng hoặc th</w:t>
      </w:r>
      <w:r>
        <w:rPr>
          <w:iCs/>
          <w:sz w:val="28"/>
          <w:szCs w:val="28"/>
        </w:rPr>
        <w:t xml:space="preserve">ể </w:t>
      </w:r>
      <w:r>
        <w:rPr>
          <w:iCs/>
          <w:sz w:val="28"/>
          <w:szCs w:val="28"/>
          <w:lang w:val="vi-VN"/>
        </w:rPr>
        <w:t>tích chất ma túy tại một số điều của Bộ luật Hình sự năm 2015</w:t>
      </w:r>
      <w:r>
        <w:rPr>
          <w:iCs/>
          <w:sz w:val="28"/>
          <w:szCs w:val="28"/>
        </w:rPr>
        <w:t>;</w:t>
      </w:r>
    </w:p>
    <w:p>
      <w:pPr>
        <w:tabs>
          <w:tab w:val="left" w:pos="1080"/>
        </w:tabs>
        <w:spacing w:line="288" w:lineRule="auto"/>
        <w:ind w:firstLine="567"/>
        <w:rPr>
          <w:b/>
          <w:sz w:val="28"/>
          <w:szCs w:val="28"/>
        </w:rPr>
      </w:pPr>
      <w:r>
        <w:rPr>
          <w:iCs/>
          <w:sz w:val="28"/>
          <w:szCs w:val="28"/>
        </w:rPr>
        <w:t xml:space="preserve">- Nghị định số 22/2018/NĐ-CP ngày 23 tháng 02 năm 2018 của Chính phủ </w:t>
      </w:r>
      <w:r>
        <w:rPr>
          <w:iCs/>
          <w:sz w:val="28"/>
          <w:szCs w:val="28"/>
          <w:lang w:val="vi-VN"/>
        </w:rPr>
        <w:t>quy định chi tiết một số đ</w:t>
      </w:r>
      <w:r>
        <w:rPr>
          <w:iCs/>
          <w:sz w:val="28"/>
          <w:szCs w:val="28"/>
        </w:rPr>
        <w:t>i</w:t>
      </w:r>
      <w:r>
        <w:rPr>
          <w:iCs/>
          <w:sz w:val="28"/>
          <w:szCs w:val="28"/>
          <w:lang w:val="vi-VN"/>
        </w:rPr>
        <w:t>ều và b</w:t>
      </w:r>
      <w:r>
        <w:rPr>
          <w:iCs/>
          <w:sz w:val="28"/>
          <w:szCs w:val="28"/>
        </w:rPr>
        <w:t>i</w:t>
      </w:r>
      <w:r>
        <w:rPr>
          <w:iCs/>
          <w:sz w:val="28"/>
          <w:szCs w:val="28"/>
          <w:lang w:val="vi-VN"/>
        </w:rPr>
        <w:t xml:space="preserve">ện pháp thi hành Luật sở hữu trí tuệ năm 2005 và Luật sửa đổi, bổ sung một số điều của Luật sở hữu trí tuệ năm 2009 về quyền tác giả, quyền </w:t>
      </w:r>
      <w:r>
        <w:rPr>
          <w:iCs/>
          <w:sz w:val="28"/>
          <w:szCs w:val="28"/>
        </w:rPr>
        <w:t>li</w:t>
      </w:r>
      <w:r>
        <w:rPr>
          <w:iCs/>
          <w:sz w:val="28"/>
          <w:szCs w:val="28"/>
          <w:lang w:val="vi-VN"/>
        </w:rPr>
        <w:t>ên quan</w:t>
      </w:r>
      <w:r>
        <w:rPr>
          <w:iCs/>
          <w:sz w:val="28"/>
          <w:szCs w:val="28"/>
        </w:rPr>
        <w:t>;</w:t>
      </w:r>
    </w:p>
    <w:p>
      <w:pPr>
        <w:tabs>
          <w:tab w:val="left" w:pos="1080"/>
        </w:tabs>
        <w:spacing w:line="288" w:lineRule="auto"/>
        <w:ind w:firstLine="567"/>
        <w:rPr>
          <w:b/>
          <w:sz w:val="28"/>
          <w:szCs w:val="28"/>
        </w:rPr>
      </w:pPr>
      <w:r>
        <w:rPr>
          <w:iCs/>
          <w:sz w:val="28"/>
          <w:szCs w:val="28"/>
        </w:rPr>
        <w:t xml:space="preserve">- Nghị định số 23/2018/NĐ-CP ngày 23 tháng 02 năm 2018 của Chính phủ </w:t>
      </w:r>
      <w:r>
        <w:rPr>
          <w:iCs/>
          <w:sz w:val="28"/>
          <w:szCs w:val="28"/>
          <w:lang w:val="vi-VN"/>
        </w:rPr>
        <w:t>quy định</w:t>
      </w:r>
      <w:r>
        <w:rPr>
          <w:i/>
          <w:iCs/>
          <w:sz w:val="28"/>
          <w:szCs w:val="28"/>
          <w:lang w:val="vi-VN"/>
        </w:rPr>
        <w:t xml:space="preserve"> </w:t>
      </w:r>
      <w:r>
        <w:rPr>
          <w:iCs/>
          <w:sz w:val="28"/>
          <w:szCs w:val="28"/>
          <w:lang w:val="vi-VN"/>
        </w:rPr>
        <w:t>về bảo hiểm ch</w:t>
      </w:r>
      <w:r>
        <w:rPr>
          <w:iCs/>
          <w:sz w:val="28"/>
          <w:szCs w:val="28"/>
        </w:rPr>
        <w:t>á</w:t>
      </w:r>
      <w:r>
        <w:rPr>
          <w:iCs/>
          <w:sz w:val="28"/>
          <w:szCs w:val="28"/>
          <w:lang w:val="vi-VN"/>
        </w:rPr>
        <w:t>y, n</w:t>
      </w:r>
      <w:r>
        <w:rPr>
          <w:iCs/>
          <w:sz w:val="28"/>
          <w:szCs w:val="28"/>
        </w:rPr>
        <w:t xml:space="preserve">ổ </w:t>
      </w:r>
      <w:r>
        <w:rPr>
          <w:iCs/>
          <w:sz w:val="28"/>
          <w:szCs w:val="28"/>
          <w:lang w:val="vi-VN"/>
        </w:rPr>
        <w:t>bắt buộc</w:t>
      </w:r>
      <w:r>
        <w:rPr>
          <w:iCs/>
          <w:sz w:val="28"/>
          <w:szCs w:val="28"/>
        </w:rPr>
        <w:t>;</w:t>
      </w:r>
    </w:p>
    <w:p>
      <w:pPr>
        <w:tabs>
          <w:tab w:val="left" w:pos="1080"/>
        </w:tabs>
        <w:spacing w:line="288" w:lineRule="auto"/>
        <w:ind w:firstLine="567"/>
        <w:rPr>
          <w:b/>
          <w:sz w:val="28"/>
          <w:szCs w:val="28"/>
        </w:rPr>
      </w:pPr>
      <w:r>
        <w:rPr>
          <w:iCs/>
          <w:sz w:val="28"/>
          <w:szCs w:val="28"/>
        </w:rPr>
        <w:t>- Nghị định số 24/2018/NĐ-CP ngày 27 tháng 02 năm 2018 của Chính phủ quy định về giải quyết khiếu nại, tố cáo trong lĩnh vực lao động, giáo dục nghề nghiệp, người lao động Việt Nam đi làm việc ở nước ngoài theo hợp đồng, việc làm, an toàn, vệ sinh lao động;</w:t>
      </w:r>
    </w:p>
    <w:p>
      <w:pPr>
        <w:tabs>
          <w:tab w:val="left" w:pos="1080"/>
        </w:tabs>
        <w:spacing w:line="288" w:lineRule="auto"/>
        <w:ind w:firstLine="567"/>
        <w:rPr>
          <w:b/>
          <w:sz w:val="28"/>
          <w:szCs w:val="28"/>
        </w:rPr>
      </w:pPr>
      <w:r>
        <w:rPr>
          <w:sz w:val="28"/>
          <w:szCs w:val="28"/>
        </w:rPr>
        <w:t xml:space="preserve">- Nghị định </w:t>
      </w:r>
      <w:r>
        <w:rPr>
          <w:iCs/>
          <w:sz w:val="28"/>
          <w:szCs w:val="28"/>
        </w:rPr>
        <w:t xml:space="preserve">số 25/2018/NĐ-CP ngày 28 tháng 02 năm 2018 của Chính phủ </w:t>
      </w:r>
      <w:r>
        <w:rPr>
          <w:sz w:val="28"/>
          <w:szCs w:val="28"/>
        </w:rPr>
        <w:t>sửa đổi, bổ sung một số điều của Nghị định số 60/2014/NĐ-CP ngày 19 tháng 6 năm 2014 của Chính phủ quy định về hoạt động in;</w:t>
      </w:r>
    </w:p>
    <w:p>
      <w:pPr>
        <w:tabs>
          <w:tab w:val="left" w:pos="1080"/>
        </w:tabs>
        <w:spacing w:line="288" w:lineRule="auto"/>
        <w:ind w:firstLine="567"/>
        <w:rPr>
          <w:b/>
          <w:sz w:val="28"/>
          <w:szCs w:val="28"/>
        </w:rPr>
      </w:pPr>
      <w:r>
        <w:rPr>
          <w:sz w:val="28"/>
          <w:szCs w:val="28"/>
        </w:rPr>
        <w:t xml:space="preserve">- Nghị định số 27/2018/NĐ-CP </w:t>
      </w:r>
      <w:r>
        <w:rPr>
          <w:iCs/>
          <w:sz w:val="28"/>
          <w:szCs w:val="28"/>
        </w:rPr>
        <w:t>ngày 01 tháng 3 năm 2018 của Chính phủ s</w:t>
      </w:r>
      <w:r>
        <w:rPr>
          <w:sz w:val="28"/>
          <w:szCs w:val="28"/>
        </w:rPr>
        <w:t xml:space="preserve">ửa đổi, bổ sung một số điều của Nghị định số 72/2013/NĐ-CP ngày 15 tháng 7 năm </w:t>
      </w:r>
      <w:r>
        <w:rPr>
          <w:sz w:val="28"/>
          <w:szCs w:val="28"/>
        </w:rPr>
        <w:lastRenderedPageBreak/>
        <w:t>2013 của Chính phủ về quản lý, cung cấp, sử dụng dịch vụ Internet và thông tin trên mạng;</w:t>
      </w:r>
    </w:p>
    <w:p>
      <w:pPr>
        <w:tabs>
          <w:tab w:val="left" w:pos="1080"/>
        </w:tabs>
        <w:spacing w:line="288" w:lineRule="auto"/>
        <w:ind w:firstLine="567"/>
        <w:rPr>
          <w:b/>
          <w:spacing w:val="-6"/>
          <w:sz w:val="28"/>
          <w:szCs w:val="28"/>
        </w:rPr>
      </w:pPr>
      <w:r>
        <w:rPr>
          <w:spacing w:val="-6"/>
          <w:sz w:val="28"/>
          <w:szCs w:val="28"/>
        </w:rPr>
        <w:t xml:space="preserve">- Nghị định số 28/2018/NĐ-CP </w:t>
      </w:r>
      <w:r>
        <w:rPr>
          <w:iCs/>
          <w:spacing w:val="-6"/>
          <w:sz w:val="28"/>
          <w:szCs w:val="28"/>
        </w:rPr>
        <w:t>ngày 01 tháng 3 năm 2018 của Chính phủ q</w:t>
      </w:r>
      <w:r>
        <w:rPr>
          <w:spacing w:val="-6"/>
          <w:sz w:val="28"/>
          <w:szCs w:val="28"/>
        </w:rPr>
        <w:t>uy định chi tiết Luật Quản lý ngoại thương về một số biện pháp phát triển ngoại thương.</w:t>
      </w:r>
    </w:p>
    <w:p>
      <w:pPr>
        <w:tabs>
          <w:tab w:val="left" w:pos="1080"/>
        </w:tabs>
        <w:spacing w:line="288" w:lineRule="auto"/>
        <w:ind w:firstLine="567"/>
        <w:rPr>
          <w:b/>
          <w:sz w:val="28"/>
          <w:szCs w:val="28"/>
        </w:rPr>
      </w:pPr>
      <w:r>
        <w:rPr>
          <w:b/>
          <w:sz w:val="28"/>
          <w:szCs w:val="28"/>
        </w:rPr>
        <w:t>e. Thông tư, Quyết định của Bộ Giáo dục và Đào tạo</w:t>
      </w:r>
    </w:p>
    <w:p>
      <w:pPr>
        <w:tabs>
          <w:tab w:val="left" w:pos="1080"/>
        </w:tabs>
        <w:spacing w:line="288" w:lineRule="auto"/>
        <w:ind w:firstLine="567"/>
        <w:rPr>
          <w:b/>
          <w:spacing w:val="-6"/>
          <w:sz w:val="28"/>
          <w:szCs w:val="28"/>
        </w:rPr>
      </w:pPr>
      <w:r>
        <w:rPr>
          <w:sz w:val="28"/>
          <w:szCs w:val="28"/>
          <w:shd w:val="clear" w:color="auto" w:fill="FFFFFF"/>
        </w:rPr>
        <w:t xml:space="preserve">- Thông tư số 28/2017/TT-BGDĐT </w:t>
      </w:r>
      <w:r>
        <w:rPr>
          <w:bCs/>
          <w:sz w:val="28"/>
          <w:szCs w:val="28"/>
          <w:shd w:val="clear" w:color="auto" w:fill="FFFFFF"/>
        </w:rPr>
        <w:t xml:space="preserve">ngày 30 tháng 11 năm 2017 của Bộ trưởng Bộ Giáo dục và Đào tạo </w:t>
      </w:r>
      <w:r>
        <w:rPr>
          <w:sz w:val="28"/>
          <w:szCs w:val="28"/>
          <w:shd w:val="clear" w:color="auto" w:fill="FFFFFF"/>
        </w:rPr>
        <w:t xml:space="preserve">Quy định tiêu chuẩn, điều kiện, nội dung, hình </w:t>
      </w:r>
      <w:r>
        <w:rPr>
          <w:spacing w:val="-6"/>
          <w:sz w:val="28"/>
          <w:szCs w:val="28"/>
          <w:shd w:val="clear" w:color="auto" w:fill="FFFFFF"/>
        </w:rPr>
        <w:t>thức xét thăng hạng chức danh nghề nghiệp giáo viên mầm non, phổ thông công lập; </w:t>
      </w:r>
    </w:p>
    <w:p>
      <w:pPr>
        <w:tabs>
          <w:tab w:val="left" w:pos="1080"/>
        </w:tabs>
        <w:spacing w:line="288" w:lineRule="auto"/>
        <w:ind w:firstLine="567"/>
        <w:rPr>
          <w:b/>
          <w:sz w:val="28"/>
          <w:szCs w:val="28"/>
        </w:rPr>
      </w:pPr>
      <w:r>
        <w:rPr>
          <w:sz w:val="28"/>
          <w:szCs w:val="28"/>
          <w:shd w:val="clear" w:color="auto" w:fill="FFFFFF"/>
        </w:rPr>
        <w:t xml:space="preserve">- Thông tư số 32/2017/TT-BGDĐT </w:t>
      </w:r>
      <w:r>
        <w:rPr>
          <w:bCs/>
          <w:sz w:val="28"/>
          <w:szCs w:val="28"/>
          <w:shd w:val="clear" w:color="auto" w:fill="FFFFFF"/>
        </w:rPr>
        <w:t>ngày 19 tháng 12 năm 2017 của Bộ trưởng Bộ Giáo dục và Đào tạo về sửa đổi Quy chế thi nghiên cứu khoa học, kỹ thuật cấp quốc gia học sinh trung học cơ sở và trung học phổ thông kèm theo Thông tư số 38/2012/</w:t>
      </w:r>
      <w:r>
        <w:rPr>
          <w:rStyle w:val="Emphasis"/>
          <w:bCs/>
          <w:i w:val="0"/>
          <w:iCs w:val="0"/>
          <w:sz w:val="28"/>
          <w:szCs w:val="28"/>
          <w:shd w:val="clear" w:color="auto" w:fill="FFFFFF"/>
        </w:rPr>
        <w:t>TT-BGDĐT</w:t>
      </w:r>
      <w:r>
        <w:rPr>
          <w:bCs/>
          <w:sz w:val="28"/>
          <w:szCs w:val="28"/>
          <w:shd w:val="clear" w:color="auto" w:fill="FFFFFF"/>
        </w:rPr>
        <w:t xml:space="preserve"> do Bộ trưởng Bộ Giáo dục và Đào tạo;  </w:t>
      </w:r>
    </w:p>
    <w:p>
      <w:pPr>
        <w:tabs>
          <w:tab w:val="left" w:pos="1080"/>
        </w:tabs>
        <w:spacing w:line="288" w:lineRule="auto"/>
        <w:ind w:firstLine="567"/>
        <w:rPr>
          <w:b/>
          <w:sz w:val="28"/>
          <w:szCs w:val="28"/>
        </w:rPr>
      </w:pPr>
      <w:r>
        <w:rPr>
          <w:sz w:val="28"/>
          <w:szCs w:val="28"/>
          <w:shd w:val="clear" w:color="auto" w:fill="FFFFFF"/>
        </w:rPr>
        <w:t xml:space="preserve">- Thông tư số 35/2017/TT-BGDĐT </w:t>
      </w:r>
      <w:r>
        <w:rPr>
          <w:bCs/>
          <w:sz w:val="28"/>
          <w:szCs w:val="28"/>
          <w:shd w:val="clear" w:color="auto" w:fill="FFFFFF"/>
        </w:rPr>
        <w:t xml:space="preserve">ngày 28 tháng 12 năm 2017 của Bộ trưởng Bộ Giáo dục và Đào tạo </w:t>
      </w:r>
      <w:r>
        <w:rPr>
          <w:sz w:val="28"/>
          <w:szCs w:val="28"/>
          <w:shd w:val="clear" w:color="auto" w:fill="FFFFFF"/>
        </w:rPr>
        <w:t>Quy định về quản lý, vận hành và sử dụng hệ thống thông tin quản lý phổ cập giáo dục, xóa mù chữ; </w:t>
      </w:r>
    </w:p>
    <w:p>
      <w:pPr>
        <w:tabs>
          <w:tab w:val="left" w:pos="1080"/>
        </w:tabs>
        <w:spacing w:line="288" w:lineRule="auto"/>
        <w:ind w:firstLine="567"/>
        <w:rPr>
          <w:b/>
          <w:sz w:val="28"/>
          <w:szCs w:val="28"/>
        </w:rPr>
      </w:pPr>
      <w:r>
        <w:rPr>
          <w:sz w:val="28"/>
          <w:szCs w:val="28"/>
          <w:shd w:val="clear" w:color="auto" w:fill="FFFFFF"/>
        </w:rPr>
        <w:t xml:space="preserve">- Thông tư số 36/2017/TT-BGDĐT </w:t>
      </w:r>
      <w:r>
        <w:rPr>
          <w:bCs/>
          <w:sz w:val="28"/>
          <w:szCs w:val="28"/>
          <w:shd w:val="clear" w:color="auto" w:fill="FFFFFF"/>
        </w:rPr>
        <w:t>ngày 28 tháng 12 năm 2017 của Bộ trưởng Bộ Giáo dục và Đào tạo Quy chế thực hiện công khai đối với cơ sở giáo dục và đào tạo thuộc hệ thống giáo dục quốc dân</w:t>
      </w:r>
      <w:r>
        <w:rPr>
          <w:sz w:val="28"/>
          <w:szCs w:val="28"/>
          <w:shd w:val="clear" w:color="auto" w:fill="FFFFFF"/>
        </w:rPr>
        <w:t>;</w:t>
      </w:r>
    </w:p>
    <w:p>
      <w:pPr>
        <w:tabs>
          <w:tab w:val="left" w:pos="1080"/>
        </w:tabs>
        <w:spacing w:line="288" w:lineRule="auto"/>
        <w:ind w:firstLine="567"/>
        <w:rPr>
          <w:b/>
          <w:sz w:val="28"/>
          <w:szCs w:val="28"/>
        </w:rPr>
      </w:pPr>
      <w:r>
        <w:rPr>
          <w:bCs/>
          <w:sz w:val="28"/>
          <w:szCs w:val="28"/>
        </w:rPr>
        <w:t>- Quyết định số 5886/QĐ-BGDĐT ngày 28 tháng 12 năm 2017 của Bộ Giáo dục và Đào tạo Ban hành Chương trình hành động Phòng, chống bạo lực học đường trong các cơ sở giáo dục mầm non, giáo dục phổ thông và giáo dục thường xuyên giai đoạn 2017-2021;</w:t>
      </w:r>
      <w:r>
        <w:rPr>
          <w:sz w:val="28"/>
          <w:szCs w:val="28"/>
          <w:shd w:val="clear" w:color="auto" w:fill="FFFFFF"/>
        </w:rPr>
        <w:t> </w:t>
      </w:r>
    </w:p>
    <w:p>
      <w:pPr>
        <w:tabs>
          <w:tab w:val="left" w:pos="1080"/>
        </w:tabs>
        <w:spacing w:line="288" w:lineRule="auto"/>
        <w:ind w:firstLine="567"/>
        <w:rPr>
          <w:b/>
          <w:sz w:val="28"/>
          <w:szCs w:val="28"/>
        </w:rPr>
      </w:pPr>
      <w:r>
        <w:rPr>
          <w:sz w:val="28"/>
          <w:szCs w:val="28"/>
          <w:shd w:val="clear" w:color="auto" w:fill="FFFFFF"/>
        </w:rPr>
        <w:t xml:space="preserve">- Thông tư số 01/2018/TT-BGDĐT </w:t>
      </w:r>
      <w:r>
        <w:rPr>
          <w:bCs/>
          <w:sz w:val="28"/>
          <w:szCs w:val="28"/>
          <w:shd w:val="clear" w:color="auto" w:fill="FFFFFF"/>
        </w:rPr>
        <w:t xml:space="preserve">ngày 26 tháng 01 năm 2018 của Bộ trưởng Bộ Giáo dục và Đào tạo </w:t>
      </w:r>
      <w:r>
        <w:rPr>
          <w:sz w:val="28"/>
          <w:szCs w:val="28"/>
          <w:shd w:val="clear" w:color="auto" w:fill="FFFFFF"/>
        </w:rPr>
        <w:t>ban hành Danh mục thiết bị dạy học tối thiếu môn học giáo dục quốc phòng và an ninh trong các trường tiểu học, trung học cơ sở, trung học phô thông và trường phổ thông có nhiều cấp học (có cấp trung học phố thông), trung cấp sư phạm, cao đẳng sư phạm và cơ sở giáo dục đại học;</w:t>
      </w:r>
    </w:p>
    <w:p>
      <w:pPr>
        <w:tabs>
          <w:tab w:val="left" w:pos="1080"/>
        </w:tabs>
        <w:spacing w:line="288" w:lineRule="auto"/>
        <w:ind w:firstLine="567"/>
        <w:rPr>
          <w:bCs/>
          <w:sz w:val="28"/>
          <w:szCs w:val="28"/>
          <w:shd w:val="clear" w:color="auto" w:fill="FFFFFF"/>
        </w:rPr>
      </w:pPr>
      <w:r>
        <w:rPr>
          <w:sz w:val="28"/>
          <w:szCs w:val="28"/>
          <w:shd w:val="clear" w:color="auto" w:fill="FFFFFF"/>
        </w:rPr>
        <w:t xml:space="preserve">- Thông tư số 03/2018/TT-BGDĐT </w:t>
      </w:r>
      <w:r>
        <w:rPr>
          <w:bCs/>
          <w:sz w:val="28"/>
          <w:szCs w:val="28"/>
          <w:shd w:val="clear" w:color="auto" w:fill="FFFFFF"/>
        </w:rPr>
        <w:t>ngày 29 tháng 01 năm 2018 của Bộ trưởng Bộ Giáo dục và Đào tạo Quy định về giáo dục hào nhập đối với người khuyết tật.</w:t>
      </w:r>
    </w:p>
    <w:p>
      <w:pPr>
        <w:tabs>
          <w:tab w:val="left" w:pos="1080"/>
        </w:tabs>
        <w:spacing w:line="288" w:lineRule="auto"/>
        <w:ind w:firstLine="567"/>
        <w:rPr>
          <w:b/>
          <w:sz w:val="28"/>
          <w:szCs w:val="28"/>
        </w:rPr>
      </w:pPr>
      <w:r>
        <w:rPr>
          <w:b/>
          <w:bCs/>
          <w:sz w:val="28"/>
          <w:szCs w:val="28"/>
          <w:shd w:val="clear" w:color="auto" w:fill="FFFFFF"/>
        </w:rPr>
        <w:t xml:space="preserve">f. </w:t>
      </w:r>
      <w:r>
        <w:rPr>
          <w:b/>
          <w:sz w:val="28"/>
          <w:szCs w:val="28"/>
        </w:rPr>
        <w:t>Th</w:t>
      </w:r>
      <w:r>
        <w:rPr>
          <w:b/>
          <w:sz w:val="28"/>
          <w:szCs w:val="28"/>
          <w:lang w:val="vi-VN"/>
        </w:rPr>
        <w:t>ông tư của các Bộ</w:t>
      </w:r>
    </w:p>
    <w:p>
      <w:pPr>
        <w:tabs>
          <w:tab w:val="left" w:pos="1080"/>
        </w:tabs>
        <w:spacing w:line="288" w:lineRule="auto"/>
        <w:ind w:firstLine="567"/>
        <w:rPr>
          <w:b/>
          <w:sz w:val="28"/>
          <w:szCs w:val="28"/>
        </w:rPr>
      </w:pPr>
      <w:r>
        <w:rPr>
          <w:sz w:val="28"/>
          <w:szCs w:val="28"/>
        </w:rPr>
        <w:t>- Thông tư số 129/2017/TT-BTC ngày 04 tháng 12 năm 2017 của Bộ trưởng Bộ Tài chính quy định về tiêu chí đánh giá kết quả thực hành tiết kiệm, chống lãng phí trong chi thường xuyên</w:t>
      </w:r>
      <w:r>
        <w:rPr>
          <w:iCs/>
          <w:sz w:val="28"/>
          <w:szCs w:val="28"/>
          <w:lang w:val="vi-VN"/>
        </w:rPr>
        <w:t>;</w:t>
      </w:r>
    </w:p>
    <w:p>
      <w:pPr>
        <w:tabs>
          <w:tab w:val="left" w:pos="1080"/>
        </w:tabs>
        <w:spacing w:line="288" w:lineRule="auto"/>
        <w:ind w:firstLine="567"/>
        <w:rPr>
          <w:b/>
          <w:spacing w:val="-6"/>
          <w:sz w:val="28"/>
          <w:szCs w:val="28"/>
        </w:rPr>
      </w:pPr>
      <w:r>
        <w:rPr>
          <w:spacing w:val="-6"/>
          <w:sz w:val="28"/>
          <w:szCs w:val="28"/>
        </w:rPr>
        <w:t>- Thông tư số 10/2017/TT-BNV ngày 29 tháng 12 năm 2017 của Bộ trưởng Bộ Nội vụ Quy định về đánh giá chất lượng bồi dưỡng cán bộ, công chức, viên chức;</w:t>
      </w:r>
    </w:p>
    <w:p>
      <w:pPr>
        <w:tabs>
          <w:tab w:val="left" w:pos="1080"/>
        </w:tabs>
        <w:spacing w:line="288" w:lineRule="auto"/>
        <w:ind w:firstLine="567"/>
        <w:rPr>
          <w:b/>
          <w:sz w:val="28"/>
          <w:szCs w:val="28"/>
        </w:rPr>
      </w:pPr>
      <w:r>
        <w:rPr>
          <w:sz w:val="28"/>
          <w:szCs w:val="28"/>
        </w:rPr>
        <w:lastRenderedPageBreak/>
        <w:t>- Thông tư số 01/2018/TT-BNV ngày 08 tháng 01 năm 2018 của Bộ trưởng Bộ Nội vụ hướng dẫn một số điều của Nghị định số 101/2017/NĐ-CP ngày 01/9/2017 của Chính phủ về đào tạo, bồi dưỡng cán bộ, công chức, viên chức.</w:t>
      </w:r>
    </w:p>
    <w:p>
      <w:pPr>
        <w:tabs>
          <w:tab w:val="left" w:pos="720"/>
          <w:tab w:val="left" w:pos="1080"/>
        </w:tabs>
        <w:spacing w:line="288" w:lineRule="auto"/>
        <w:ind w:left="567"/>
        <w:rPr>
          <w:b/>
          <w:sz w:val="28"/>
          <w:szCs w:val="28"/>
        </w:rPr>
      </w:pPr>
      <w:r>
        <w:rPr>
          <w:b/>
          <w:sz w:val="28"/>
          <w:szCs w:val="28"/>
        </w:rPr>
        <w:t>g. Nghị quyết của Hội đồng nhân dân Thành phố</w:t>
      </w:r>
    </w:p>
    <w:p>
      <w:pPr>
        <w:tabs>
          <w:tab w:val="left" w:pos="720"/>
          <w:tab w:val="left" w:pos="1080"/>
        </w:tabs>
        <w:spacing w:line="288" w:lineRule="auto"/>
        <w:ind w:firstLine="567"/>
        <w:rPr>
          <w:b/>
          <w:sz w:val="28"/>
          <w:szCs w:val="28"/>
        </w:rPr>
      </w:pPr>
      <w:r>
        <w:rPr>
          <w:b/>
          <w:sz w:val="28"/>
          <w:szCs w:val="28"/>
        </w:rPr>
        <w:t xml:space="preserve">- </w:t>
      </w:r>
      <w:r>
        <w:rPr>
          <w:sz w:val="28"/>
          <w:szCs w:val="28"/>
          <w:shd w:val="clear" w:color="auto" w:fill="FFFFFF"/>
        </w:rPr>
        <w:t xml:space="preserve">Nghị quyết số 13/2017/NQ-HĐND ngày 07 tháng 12 năm 2017 </w:t>
      </w:r>
      <w:r>
        <w:rPr>
          <w:sz w:val="28"/>
          <w:szCs w:val="28"/>
        </w:rPr>
        <w:t>của Hội đồng nhân dân Thành phố</w:t>
      </w:r>
      <w:r>
        <w:rPr>
          <w:sz w:val="28"/>
          <w:szCs w:val="28"/>
          <w:shd w:val="clear" w:color="auto" w:fill="FFFFFF"/>
        </w:rPr>
        <w:t xml:space="preserve"> về ban hành mức chi chế độ công tác phí và chế độ tổ chức hội nghị trên địa bàn Thành phố Hồ Chí Minh</w:t>
      </w:r>
      <w:r>
        <w:rPr>
          <w:sz w:val="28"/>
          <w:szCs w:val="28"/>
          <w:bdr w:val="none" w:sz="0" w:space="0" w:color="auto" w:frame="1"/>
        </w:rPr>
        <w:t>;</w:t>
      </w:r>
    </w:p>
    <w:p>
      <w:pPr>
        <w:tabs>
          <w:tab w:val="left" w:pos="720"/>
          <w:tab w:val="left" w:pos="1080"/>
        </w:tabs>
        <w:spacing w:line="288" w:lineRule="auto"/>
        <w:ind w:firstLine="567"/>
        <w:rPr>
          <w:b/>
          <w:sz w:val="28"/>
          <w:szCs w:val="28"/>
        </w:rPr>
      </w:pPr>
      <w:r>
        <w:rPr>
          <w:b/>
          <w:sz w:val="28"/>
          <w:szCs w:val="28"/>
        </w:rPr>
        <w:t xml:space="preserve">- </w:t>
      </w:r>
      <w:r>
        <w:rPr>
          <w:sz w:val="28"/>
          <w:szCs w:val="28"/>
          <w:shd w:val="clear" w:color="auto" w:fill="FFFFFF"/>
        </w:rPr>
        <w:t xml:space="preserve">Nghị quyết số 14/2017/NQ-HĐND ngày 07 tháng 12 năm 2017 </w:t>
      </w:r>
      <w:r>
        <w:rPr>
          <w:sz w:val="28"/>
          <w:szCs w:val="28"/>
        </w:rPr>
        <w:t>của Hội đồng nhân dân Thành phố</w:t>
      </w:r>
      <w:r>
        <w:rPr>
          <w:sz w:val="28"/>
          <w:szCs w:val="28"/>
          <w:shd w:val="clear" w:color="auto" w:fill="FFFFFF"/>
        </w:rPr>
        <w:t xml:space="preserve"> về chế độ bồi dưỡng đối với người làm nhiệm vụ tiếp công dân, xử lý đơn khiếu nại, tố cáo, kiến nghị, phản ánh trên địa bàn Thành phố Hồ Chí Minh.</w:t>
      </w:r>
    </w:p>
    <w:p>
      <w:pPr>
        <w:spacing w:before="120" w:line="240" w:lineRule="auto"/>
        <w:ind w:firstLine="567"/>
        <w:rPr>
          <w:spacing w:val="-10"/>
          <w:sz w:val="28"/>
          <w:szCs w:val="28"/>
        </w:rPr>
      </w:pPr>
      <w:r>
        <w:rPr>
          <w:b/>
          <w:spacing w:val="-10"/>
          <w:sz w:val="28"/>
          <w:szCs w:val="28"/>
        </w:rPr>
        <w:t xml:space="preserve">4.  </w:t>
      </w:r>
      <w:r>
        <w:rPr>
          <w:spacing w:val="-10"/>
          <w:sz w:val="28"/>
          <w:szCs w:val="28"/>
        </w:rPr>
        <w:t>Hướng dẫn thực hiện</w:t>
      </w:r>
    </w:p>
    <w:p>
      <w:pPr>
        <w:spacing w:before="120" w:line="240" w:lineRule="auto"/>
        <w:ind w:firstLine="567"/>
        <w:rPr>
          <w:spacing w:val="-10"/>
          <w:sz w:val="28"/>
          <w:szCs w:val="28"/>
        </w:rPr>
      </w:pPr>
      <w:r>
        <w:rPr>
          <w:sz w:val="28"/>
          <w:szCs w:val="28"/>
        </w:rPr>
        <w:t xml:space="preserve">Thủ trưởng các đơn vị </w:t>
      </w:r>
      <w:r>
        <w:rPr>
          <w:spacing w:val="-10"/>
          <w:sz w:val="28"/>
          <w:szCs w:val="28"/>
        </w:rPr>
        <w:t xml:space="preserve">căn cứ tình hình thực tế có thể chọn mua sách luật, sách tìm hiểu các quy định pháp luật, tìm kiếm, tra cứu cập nhật văn bản quy phạm pháp luật để bổ sung cho Tủ sách pháp luật, thư viện của đơn vị tại các trang web: </w:t>
      </w:r>
    </w:p>
    <w:p>
      <w:pPr>
        <w:spacing w:before="120" w:line="240" w:lineRule="auto"/>
        <w:ind w:firstLine="567"/>
        <w:rPr>
          <w:spacing w:val="-10"/>
          <w:sz w:val="28"/>
          <w:szCs w:val="28"/>
        </w:rPr>
      </w:pPr>
      <w:r>
        <w:rPr>
          <w:spacing w:val="-10"/>
          <w:sz w:val="28"/>
          <w:szCs w:val="28"/>
        </w:rPr>
        <w:t>- Cổng thông tin điện tử Chính phủ:</w:t>
      </w:r>
    </w:p>
    <w:p>
      <w:pPr>
        <w:spacing w:before="120" w:line="240" w:lineRule="auto"/>
        <w:ind w:firstLine="567"/>
        <w:rPr>
          <w:spacing w:val="-10"/>
          <w:sz w:val="28"/>
          <w:szCs w:val="28"/>
        </w:rPr>
      </w:pPr>
      <w:hyperlink r:id="rId7" w:history="1">
        <w:r>
          <w:rPr>
            <w:rStyle w:val="Hyperlink"/>
            <w:color w:val="auto"/>
            <w:sz w:val="28"/>
            <w:szCs w:val="28"/>
          </w:rPr>
          <w:t>http://chinhphu.vn/portal/page/portal/chinhphu/trangchu</w:t>
        </w:r>
      </w:hyperlink>
    </w:p>
    <w:p>
      <w:pPr>
        <w:spacing w:before="120" w:line="240" w:lineRule="auto"/>
        <w:ind w:firstLine="567"/>
        <w:rPr>
          <w:spacing w:val="-10"/>
          <w:sz w:val="28"/>
          <w:szCs w:val="28"/>
        </w:rPr>
      </w:pPr>
      <w:r>
        <w:rPr>
          <w:spacing w:val="-10"/>
          <w:sz w:val="28"/>
          <w:szCs w:val="28"/>
        </w:rPr>
        <w:t>- Bộ Giáo dục và Đào tạo:</w:t>
      </w:r>
      <w:r>
        <w:rPr>
          <w:sz w:val="28"/>
          <w:szCs w:val="28"/>
        </w:rPr>
        <w:t xml:space="preserve"> </w:t>
      </w:r>
      <w:hyperlink r:id="rId8" w:history="1">
        <w:r>
          <w:rPr>
            <w:rStyle w:val="Hyperlink"/>
            <w:color w:val="auto"/>
            <w:sz w:val="28"/>
            <w:szCs w:val="28"/>
          </w:rPr>
          <w:t>http://www.moet.gov.vn/Pages/home.aspx</w:t>
        </w:r>
      </w:hyperlink>
    </w:p>
    <w:p>
      <w:pPr>
        <w:spacing w:before="120" w:line="240" w:lineRule="auto"/>
        <w:ind w:firstLine="567"/>
        <w:rPr>
          <w:spacing w:val="-10"/>
          <w:sz w:val="28"/>
          <w:szCs w:val="28"/>
        </w:rPr>
      </w:pPr>
      <w:r>
        <w:rPr>
          <w:sz w:val="28"/>
          <w:szCs w:val="28"/>
        </w:rPr>
        <w:t xml:space="preserve">- Bộ Tư pháp: </w:t>
      </w:r>
      <w:hyperlink r:id="rId9" w:history="1">
        <w:r>
          <w:rPr>
            <w:rStyle w:val="Hyperlink"/>
            <w:color w:val="auto"/>
            <w:sz w:val="28"/>
            <w:szCs w:val="28"/>
          </w:rPr>
          <w:t>http://www.moj.gov.vn/Pages/home.aspx</w:t>
        </w:r>
      </w:hyperlink>
    </w:p>
    <w:p>
      <w:pPr>
        <w:spacing w:before="120" w:line="240" w:lineRule="auto"/>
        <w:ind w:firstLine="567"/>
        <w:rPr>
          <w:spacing w:val="-10"/>
          <w:sz w:val="28"/>
          <w:szCs w:val="28"/>
        </w:rPr>
      </w:pPr>
      <w:r>
        <w:rPr>
          <w:sz w:val="28"/>
          <w:szCs w:val="28"/>
        </w:rPr>
        <w:t xml:space="preserve">- </w:t>
      </w:r>
      <w:hyperlink r:id="rId10" w:history="1"/>
      <w:r>
        <w:rPr>
          <w:sz w:val="28"/>
          <w:szCs w:val="28"/>
        </w:rPr>
        <w:t xml:space="preserve">Công báo Thành phố Hồ Chí Minh: </w:t>
      </w:r>
      <w:hyperlink r:id="rId11" w:history="1">
        <w:r>
          <w:rPr>
            <w:rStyle w:val="Hyperlink"/>
            <w:color w:val="auto"/>
            <w:sz w:val="28"/>
            <w:szCs w:val="28"/>
          </w:rPr>
          <w:t>http://congbao.hochiminhcity.gov.vn/</w:t>
        </w:r>
      </w:hyperlink>
    </w:p>
    <w:p>
      <w:pPr>
        <w:spacing w:before="120" w:line="240" w:lineRule="auto"/>
        <w:ind w:firstLine="567"/>
        <w:rPr>
          <w:b/>
          <w:sz w:val="28"/>
          <w:szCs w:val="28"/>
        </w:rPr>
      </w:pPr>
      <w:r>
        <w:rPr>
          <w:sz w:val="28"/>
          <w:szCs w:val="28"/>
        </w:rPr>
        <w:t xml:space="preserve">Trên đây là những nội dung hướng dẫn của Phòng Giáo dục và Đào tạo về cập nhật, rà soát, bổ sung, phổ biến văn bản quy phạm pháp luật, quy định mới tại  các cơ sở giáo dục trên địa bàn Quận 8. </w:t>
      </w:r>
      <w:hyperlink r:id="rId12" w:history="1"/>
      <w:r>
        <w:rPr>
          <w:color w:val="000000"/>
          <w:sz w:val="28"/>
          <w:szCs w:val="28"/>
        </w:rPr>
        <w:t>Thủ trưởng các cơ sở giáo dục tùy vào điều kiện tại đơn vị, chọn lựa những hình thức tuyên truyền, phổ biến phù hợp để tuyên truyền, thông tin các văn bản mới của các cấp trong tháng 01,02 năm 2018 đến toàn thể cán bộ, công chức, viên chức và học sinh tại đơn vị, đồng thời cập nhật, bổ sung văn bản quy phạm pháp luật, quy định mới vào trong Tủ sách Pháp luật của đơn vị.</w:t>
      </w:r>
    </w:p>
    <w:p>
      <w:pPr>
        <w:tabs>
          <w:tab w:val="left" w:pos="720"/>
        </w:tabs>
        <w:spacing w:before="120" w:line="240" w:lineRule="auto"/>
        <w:ind w:firstLine="567"/>
        <w:rPr>
          <w:color w:val="000000"/>
          <w:sz w:val="28"/>
          <w:szCs w:val="28"/>
        </w:rPr>
      </w:pPr>
      <w:r>
        <w:rPr>
          <w:color w:val="000000"/>
          <w:sz w:val="28"/>
          <w:szCs w:val="28"/>
        </w:rPr>
        <w:t>Phòng Giáo dục và Đào tạo Quận 8 yêu cầu thủ trưởng các cơ sở giáo dục quan tâm và nghiêm túc thực hiện các nội dung trên./.</w:t>
      </w:r>
    </w:p>
    <w:p>
      <w:pPr>
        <w:tabs>
          <w:tab w:val="left" w:pos="720"/>
        </w:tabs>
        <w:rPr>
          <w:rFonts w:eastAsia="Calibri" w:cs="Times New Roman"/>
          <w:b/>
          <w:szCs w:val="26"/>
        </w:rPr>
      </w:pPr>
      <w:r>
        <w:rPr>
          <w:rFonts w:eastAsia="Calibri" w:cs="Times New Roman"/>
          <w:b/>
          <w:sz w:val="24"/>
          <w:szCs w:val="24"/>
        </w:rPr>
        <w:t>Nơi nhận</w: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Cs w:val="26"/>
        </w:rPr>
        <w:tab/>
        <w:t xml:space="preserve">   </w:t>
      </w:r>
      <w:r>
        <w:rPr>
          <w:rFonts w:eastAsia="Calibri" w:cs="Times New Roman"/>
          <w:szCs w:val="26"/>
        </w:rPr>
        <w:tab/>
        <w:t xml:space="preserve">    </w:t>
      </w:r>
      <w:r>
        <w:rPr>
          <w:rFonts w:eastAsia="Calibri" w:cs="Times New Roman"/>
          <w:b/>
          <w:szCs w:val="26"/>
        </w:rPr>
        <w:t>TRƯỞNG PHÒNG</w:t>
      </w:r>
    </w:p>
    <w:p>
      <w:pPr>
        <w:tabs>
          <w:tab w:val="left" w:pos="720"/>
          <w:tab w:val="left" w:pos="5850"/>
        </w:tabs>
        <w:spacing w:line="240" w:lineRule="auto"/>
        <w:rPr>
          <w:rFonts w:eastAsia="Calibri" w:cs="Times New Roman"/>
          <w:sz w:val="22"/>
        </w:rPr>
      </w:pPr>
      <w:r>
        <w:rPr>
          <w:rFonts w:eastAsia="Calibri" w:cs="Times New Roman"/>
          <w:sz w:val="22"/>
        </w:rPr>
        <w:t xml:space="preserve">- Như trên; </w:t>
      </w:r>
      <w:r>
        <w:rPr>
          <w:rFonts w:eastAsia="Calibri" w:cs="Times New Roman"/>
          <w:sz w:val="22"/>
        </w:rPr>
        <w:tab/>
        <w:t xml:space="preserve">   </w:t>
      </w:r>
      <w:r>
        <w:rPr>
          <w:rFonts w:eastAsia="Calibri" w:cs="Times New Roman"/>
          <w:sz w:val="22"/>
        </w:rPr>
        <w:tab/>
      </w:r>
      <w:r>
        <w:rPr>
          <w:rFonts w:eastAsia="Calibri" w:cs="Times New Roman"/>
          <w:sz w:val="22"/>
        </w:rPr>
        <w:tab/>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rPr>
      </w:pPr>
      <w:r>
        <w:rPr>
          <w:rFonts w:eastAsia="Calibri" w:cs="Times New Roman"/>
          <w:sz w:val="22"/>
        </w:rPr>
        <w:t xml:space="preserve">- LĐPGD&amp;ĐTQ8;                                </w:t>
      </w:r>
      <w:r>
        <w:rPr>
          <w:rFonts w:eastAsia="Calibri" w:cs="Times New Roman"/>
          <w:b/>
        </w:rPr>
        <w:t xml:space="preserve"> </w:t>
      </w:r>
      <w:r>
        <w:rPr>
          <w:rFonts w:eastAsia="Calibri" w:cs="Times New Roman"/>
          <w:b/>
        </w:rPr>
        <w:tab/>
      </w:r>
      <w:r>
        <w:rPr>
          <w:rFonts w:eastAsia="Calibri" w:cs="Times New Roman"/>
          <w:b/>
        </w:rPr>
        <w:tab/>
        <w:t xml:space="preserve"> </w:t>
      </w:r>
      <w:r>
        <w:rPr>
          <w:rFonts w:eastAsia="Calibri" w:cs="Times New Roman"/>
          <w:b/>
        </w:rPr>
        <w:tab/>
        <w:t xml:space="preserve">      </w:t>
      </w:r>
      <w:r>
        <w:rPr>
          <w:rFonts w:eastAsia="Calibri" w:cs="Times New Roman"/>
          <w:b/>
        </w:rPr>
        <w:tab/>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b/>
        </w:rPr>
      </w:pPr>
      <w:r>
        <w:rPr>
          <w:rFonts w:eastAsia="Calibri" w:cs="Times New Roman"/>
          <w:sz w:val="22"/>
        </w:rPr>
        <w:t>- Lưu: VT. KH -3b.</w:t>
      </w:r>
      <w:r>
        <w:rPr>
          <w:rFonts w:eastAsia="Calibri" w:cs="Times New Roman"/>
          <w:b/>
        </w:rPr>
        <w:t xml:space="preserve"> </w:t>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t>(đã ký)</w:t>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ind w:left="5040" w:firstLine="720"/>
        <w:rPr>
          <w:rFonts w:eastAsia="Calibri" w:cs="Times New Roman"/>
          <w:b/>
        </w:rPr>
      </w:pPr>
      <w:r>
        <w:rPr>
          <w:rFonts w:eastAsia="Calibri" w:cs="Times New Roman"/>
          <w:b/>
        </w:rPr>
        <w:t xml:space="preserve">       Dương Văn Dân</w:t>
      </w:r>
      <w:r>
        <w:rPr>
          <w:rFonts w:eastAsia="Calibri" w:cs="Times New Roman"/>
          <w:b/>
          <w:szCs w:val="26"/>
        </w:rPr>
        <w:tab/>
        <w:t xml:space="preserve">           </w:t>
      </w:r>
    </w:p>
    <w:p>
      <w:pPr>
        <w:tabs>
          <w:tab w:val="left" w:pos="3306"/>
        </w:tabs>
        <w:ind w:left="570"/>
        <w:rPr>
          <w:rFonts w:eastAsia="Calibri" w:cs="Times New Roman"/>
        </w:rPr>
      </w:pPr>
    </w:p>
    <w:p>
      <w:pPr>
        <w:tabs>
          <w:tab w:val="left" w:pos="720"/>
        </w:tabs>
        <w:spacing w:line="288" w:lineRule="auto"/>
        <w:ind w:firstLine="567"/>
        <w:jc w:val="left"/>
        <w:rPr>
          <w:color w:val="000000"/>
          <w:sz w:val="28"/>
          <w:szCs w:val="28"/>
        </w:rPr>
      </w:pPr>
    </w:p>
    <w:p>
      <w:pPr>
        <w:spacing w:before="120" w:after="120"/>
        <w:ind w:firstLine="567"/>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sectPr>
      <w:footerReference w:type="default" r:id="rId13"/>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8695"/>
      <w:docPartObj>
        <w:docPartGallery w:val="Page Numbers (Bottom of Page)"/>
        <w:docPartUnique/>
      </w:docPartObj>
    </w:sdtPr>
    <w:sdtContent>
      <w:p>
        <w:pPr>
          <w:pStyle w:val="Footer"/>
          <w:jc w:val="right"/>
        </w:pPr>
        <w:fldSimple w:instr=" PAGE   \* MERGEFORMAT ">
          <w:r>
            <w:rPr>
              <w:noProof/>
            </w:rPr>
            <w:t>4</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484"/>
    <w:multiLevelType w:val="hybridMultilevel"/>
    <w:tmpl w:val="BEA2DDB2"/>
    <w:lvl w:ilvl="0" w:tplc="3416A6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C262EC"/>
    <w:multiLevelType w:val="hybridMultilevel"/>
    <w:tmpl w:val="A36038FC"/>
    <w:lvl w:ilvl="0" w:tplc="93A8185E">
      <w:start w:val="1"/>
      <w:numFmt w:val="bullet"/>
      <w:lvlText w:val="-"/>
      <w:lvlJc w:val="left"/>
      <w:pPr>
        <w:ind w:left="928" w:hanging="360"/>
      </w:pPr>
      <w:rPr>
        <w:rFonts w:ascii="Tahoma" w:hAnsi="Tahoma" w:hint="default"/>
        <w:b w:val="0"/>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13AF4FCC"/>
    <w:multiLevelType w:val="hybridMultilevel"/>
    <w:tmpl w:val="519E9A8A"/>
    <w:lvl w:ilvl="0" w:tplc="93A8185E">
      <w:start w:val="1"/>
      <w:numFmt w:val="bullet"/>
      <w:lvlText w:val="-"/>
      <w:lvlJc w:val="left"/>
      <w:pPr>
        <w:ind w:left="720" w:hanging="360"/>
      </w:pPr>
      <w:rPr>
        <w:rFonts w:ascii="Tahoma" w:hAnsi="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644AD"/>
    <w:multiLevelType w:val="hybridMultilevel"/>
    <w:tmpl w:val="69FC8A92"/>
    <w:lvl w:ilvl="0" w:tplc="CD90CB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9723257"/>
    <w:multiLevelType w:val="hybridMultilevel"/>
    <w:tmpl w:val="FDBA85CE"/>
    <w:lvl w:ilvl="0" w:tplc="93A8185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806EB"/>
    <w:multiLevelType w:val="hybridMultilevel"/>
    <w:tmpl w:val="DB54D7E8"/>
    <w:lvl w:ilvl="0" w:tplc="7AB27F86">
      <w:start w:val="1"/>
      <w:numFmt w:val="lowerLetter"/>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37DC31AA"/>
    <w:multiLevelType w:val="hybridMultilevel"/>
    <w:tmpl w:val="27A41500"/>
    <w:lvl w:ilvl="0" w:tplc="93A8185E">
      <w:start w:val="1"/>
      <w:numFmt w:val="bullet"/>
      <w:lvlText w:val="-"/>
      <w:lvlJc w:val="left"/>
      <w:pPr>
        <w:ind w:left="2345" w:hanging="360"/>
      </w:pPr>
      <w:rPr>
        <w:rFonts w:ascii="Tahoma" w:hAnsi="Tahom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7">
    <w:nsid w:val="39855924"/>
    <w:multiLevelType w:val="hybridMultilevel"/>
    <w:tmpl w:val="E97CCDA0"/>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5243726"/>
    <w:multiLevelType w:val="hybridMultilevel"/>
    <w:tmpl w:val="B52601C2"/>
    <w:lvl w:ilvl="0" w:tplc="93A8185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2C6446"/>
    <w:multiLevelType w:val="hybridMultilevel"/>
    <w:tmpl w:val="0BB6BF54"/>
    <w:lvl w:ilvl="0" w:tplc="3E42E78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325EC3"/>
    <w:multiLevelType w:val="hybridMultilevel"/>
    <w:tmpl w:val="59FC703E"/>
    <w:lvl w:ilvl="0" w:tplc="3416A6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C6973"/>
    <w:multiLevelType w:val="hybridMultilevel"/>
    <w:tmpl w:val="E452DC14"/>
    <w:lvl w:ilvl="0" w:tplc="88D4AEB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B1122F"/>
    <w:multiLevelType w:val="hybridMultilevel"/>
    <w:tmpl w:val="B7221C40"/>
    <w:lvl w:ilvl="0" w:tplc="93A8185E">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C14DFE"/>
    <w:multiLevelType w:val="hybridMultilevel"/>
    <w:tmpl w:val="535A259E"/>
    <w:lvl w:ilvl="0" w:tplc="9332880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FE31D2"/>
    <w:multiLevelType w:val="hybridMultilevel"/>
    <w:tmpl w:val="EC8EB2E2"/>
    <w:lvl w:ilvl="0" w:tplc="93A8185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0D403C"/>
    <w:multiLevelType w:val="hybridMultilevel"/>
    <w:tmpl w:val="00AE72D4"/>
    <w:lvl w:ilvl="0" w:tplc="93A8185E">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E5F5790"/>
    <w:multiLevelType w:val="hybridMultilevel"/>
    <w:tmpl w:val="07B03220"/>
    <w:lvl w:ilvl="0" w:tplc="6B949CFA">
      <w:start w:val="1"/>
      <w:numFmt w:val="decimal"/>
      <w:lvlText w:val="%1."/>
      <w:lvlJc w:val="left"/>
      <w:pPr>
        <w:ind w:left="1620" w:hanging="900"/>
      </w:pPr>
      <w:rPr>
        <w:rFonts w:ascii="Times New Roman" w:eastAsia="Times New Roman" w:hAnsi="Times New Roman" w:cs="Times New Roman"/>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2"/>
  </w:num>
  <w:num w:numId="6">
    <w:abstractNumId w:val="15"/>
  </w:num>
  <w:num w:numId="7">
    <w:abstractNumId w:val="7"/>
  </w:num>
  <w:num w:numId="8">
    <w:abstractNumId w:val="11"/>
  </w:num>
  <w:num w:numId="9">
    <w:abstractNumId w:val="9"/>
  </w:num>
  <w:num w:numId="10">
    <w:abstractNumId w:val="14"/>
  </w:num>
  <w:num w:numId="11">
    <w:abstractNumId w:val="13"/>
  </w:num>
  <w:num w:numId="12">
    <w:abstractNumId w:val="8"/>
  </w:num>
  <w:num w:numId="13">
    <w:abstractNumId w:val="4"/>
  </w:num>
  <w:num w:numId="14">
    <w:abstractNumId w:val="16"/>
  </w:num>
  <w:num w:numId="15">
    <w:abstractNumId w:val="5"/>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eastAsia="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t.gov.vn/Pages/home.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hinhphu.vn/portal/page/portal/chinhphu/trangchu" TargetMode="External"/><Relationship Id="rId12" Type="http://schemas.openxmlformats.org/officeDocument/2006/relationships/hyperlink" Target="http://www.congbao.hochiminhcity.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gbao.hochiminhcity.gov.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oj.gov.vn/Pages/home.aspx" TargetMode="External"/><Relationship Id="rId4" Type="http://schemas.openxmlformats.org/officeDocument/2006/relationships/webSettings" Target="webSettings.xml"/><Relationship Id="rId9" Type="http://schemas.openxmlformats.org/officeDocument/2006/relationships/hyperlink" Target="http://www.moj.gov.vn/Pages/hom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22</cp:revision>
  <cp:lastPrinted>2017-04-19T07:21:00Z</cp:lastPrinted>
  <dcterms:created xsi:type="dcterms:W3CDTF">2018-03-09T08:49:00Z</dcterms:created>
  <dcterms:modified xsi:type="dcterms:W3CDTF">2018-03-12T03:13:00Z</dcterms:modified>
</cp:coreProperties>
</file>